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7438" w14:textId="065092A6" w:rsidR="006F0B2F" w:rsidRPr="00A971A5" w:rsidRDefault="006F0B2F" w:rsidP="006F0B2F">
      <w:pPr>
        <w:widowControl w:val="0"/>
        <w:autoSpaceDE w:val="0"/>
        <w:autoSpaceDN w:val="0"/>
        <w:adjustRightInd w:val="0"/>
        <w:spacing w:after="0" w:line="240" w:lineRule="auto"/>
        <w:ind w:left="100"/>
        <w:jc w:val="center"/>
        <w:rPr>
          <w:rFonts w:ascii="Times New Roman" w:eastAsia="Times New Roman" w:hAnsi="Times New Roman" w:cs="Times New Roman"/>
          <w:b/>
          <w:bCs/>
          <w:spacing w:val="-1"/>
          <w:sz w:val="24"/>
          <w:szCs w:val="24"/>
        </w:rPr>
      </w:pPr>
      <w:r w:rsidRPr="00A971A5">
        <w:rPr>
          <w:rFonts w:ascii="Times New Roman" w:eastAsia="Times New Roman" w:hAnsi="Times New Roman" w:cs="Times New Roman"/>
          <w:b/>
          <w:bCs/>
          <w:spacing w:val="-1"/>
          <w:sz w:val="24"/>
          <w:szCs w:val="24"/>
        </w:rPr>
        <w:t xml:space="preserve">Criteria </w:t>
      </w:r>
      <w:r w:rsidR="00E67347" w:rsidRPr="00A971A5">
        <w:rPr>
          <w:rFonts w:ascii="Times New Roman" w:eastAsia="Times New Roman" w:hAnsi="Times New Roman" w:cs="Times New Roman"/>
          <w:b/>
          <w:bCs/>
          <w:spacing w:val="-1"/>
          <w:sz w:val="24"/>
          <w:szCs w:val="24"/>
        </w:rPr>
        <w:t>6.1.1</w:t>
      </w:r>
    </w:p>
    <w:p w14:paraId="50DA6DD4" w14:textId="5C16971C" w:rsidR="00E67347" w:rsidRDefault="00E67347" w:rsidP="00511295">
      <w:pPr>
        <w:widowControl w:val="0"/>
        <w:autoSpaceDE w:val="0"/>
        <w:autoSpaceDN w:val="0"/>
        <w:adjustRightInd w:val="0"/>
        <w:spacing w:after="0" w:line="240" w:lineRule="auto"/>
        <w:ind w:left="100"/>
        <w:rPr>
          <w:rFonts w:ascii="Times New Roman" w:eastAsia="Times New Roman" w:hAnsi="Times New Roman" w:cs="Times New Roman"/>
          <w:b/>
          <w:bCs/>
          <w:spacing w:val="-1"/>
        </w:rPr>
      </w:pPr>
      <w:r w:rsidRPr="00C02F8F">
        <w:rPr>
          <w:rFonts w:ascii="Times New Roman" w:eastAsia="Times New Roman" w:hAnsi="Times New Roman" w:cs="Times New Roman"/>
          <w:b/>
          <w:bCs/>
          <w:i/>
          <w:iCs/>
          <w:sz w:val="24"/>
          <w:szCs w:val="24"/>
        </w:rPr>
        <w:t>The governance of the institution is reflective of an effective leadership in tune with the vision and mission of the Institution</w:t>
      </w:r>
      <w:r w:rsidR="006F0B2F">
        <w:rPr>
          <w:rFonts w:ascii="Times New Roman" w:eastAsia="Times New Roman" w:hAnsi="Times New Roman" w:cs="Times New Roman"/>
          <w:b/>
          <w:bCs/>
          <w:i/>
          <w:iCs/>
          <w:sz w:val="24"/>
          <w:szCs w:val="24"/>
        </w:rPr>
        <w:t>:</w:t>
      </w:r>
      <w:r w:rsidRPr="00511295">
        <w:rPr>
          <w:rFonts w:ascii="Times New Roman" w:eastAsia="Times New Roman" w:hAnsi="Times New Roman" w:cs="Times New Roman"/>
          <w:b/>
          <w:bCs/>
          <w:spacing w:val="-1"/>
        </w:rPr>
        <w:t xml:space="preserve"> </w:t>
      </w:r>
    </w:p>
    <w:p w14:paraId="1443EC56" w14:textId="77777777" w:rsidR="00E67347" w:rsidRDefault="00E67347" w:rsidP="00511295">
      <w:pPr>
        <w:widowControl w:val="0"/>
        <w:autoSpaceDE w:val="0"/>
        <w:autoSpaceDN w:val="0"/>
        <w:adjustRightInd w:val="0"/>
        <w:spacing w:after="0" w:line="240" w:lineRule="auto"/>
        <w:ind w:left="100"/>
        <w:rPr>
          <w:rFonts w:ascii="Times New Roman" w:eastAsia="Times New Roman" w:hAnsi="Times New Roman" w:cs="Times New Roman"/>
          <w:b/>
          <w:bCs/>
          <w:spacing w:val="-1"/>
        </w:rPr>
      </w:pPr>
    </w:p>
    <w:p w14:paraId="76D4EE92" w14:textId="6D6744ED" w:rsidR="00511295" w:rsidRDefault="00F74976" w:rsidP="00F74976">
      <w:pPr>
        <w:widowControl w:val="0"/>
        <w:autoSpaceDE w:val="0"/>
        <w:autoSpaceDN w:val="0"/>
        <w:adjustRightInd w:val="0"/>
        <w:spacing w:after="0" w:line="360" w:lineRule="auto"/>
        <w:jc w:val="both"/>
        <w:rPr>
          <w:rFonts w:ascii="Times New Roman" w:eastAsia="Times New Roman" w:hAnsi="Times New Roman" w:cs="Times New Roman"/>
          <w:color w:val="242424"/>
        </w:rPr>
      </w:pPr>
      <w:r>
        <w:rPr>
          <w:rFonts w:ascii="Times New Roman" w:eastAsia="Times New Roman" w:hAnsi="Times New Roman" w:cs="Times New Roman"/>
          <w:spacing w:val="-1"/>
        </w:rPr>
        <w:t xml:space="preserve">The governance of the Institute is aligned with the vision and mission of the institute. </w:t>
      </w:r>
      <w:r w:rsidR="00E67347" w:rsidRPr="00956797">
        <w:rPr>
          <w:rFonts w:ascii="Times New Roman" w:eastAsia="Times New Roman" w:hAnsi="Times New Roman" w:cs="Times New Roman"/>
          <w:color w:val="242424"/>
        </w:rPr>
        <w:t xml:space="preserve">The vision and mission statements of the </w:t>
      </w:r>
      <w:r w:rsidR="00956797" w:rsidRPr="00956797">
        <w:rPr>
          <w:rFonts w:ascii="Times New Roman" w:eastAsia="Times New Roman" w:hAnsi="Times New Roman" w:cs="Times New Roman"/>
          <w:color w:val="242424"/>
        </w:rPr>
        <w:t>I</w:t>
      </w:r>
      <w:r w:rsidR="00E67347" w:rsidRPr="00956797">
        <w:rPr>
          <w:rFonts w:ascii="Times New Roman" w:eastAsia="Times New Roman" w:hAnsi="Times New Roman" w:cs="Times New Roman"/>
          <w:color w:val="242424"/>
        </w:rPr>
        <w:t xml:space="preserve">nstitute </w:t>
      </w:r>
      <w:r w:rsidR="00956797" w:rsidRPr="00956797">
        <w:rPr>
          <w:rFonts w:ascii="Times New Roman" w:eastAsia="Times New Roman" w:hAnsi="Times New Roman" w:cs="Times New Roman"/>
          <w:color w:val="242424"/>
        </w:rPr>
        <w:t>are displayed at various places in the campus.</w:t>
      </w:r>
      <w:r w:rsidR="00956797">
        <w:t xml:space="preserve"> </w:t>
      </w:r>
      <w:r w:rsidR="00956797">
        <w:rPr>
          <w:rFonts w:ascii="Times New Roman" w:eastAsia="Times New Roman" w:hAnsi="Times New Roman" w:cs="Times New Roman"/>
          <w:color w:val="242424"/>
        </w:rPr>
        <w:t xml:space="preserve">Through </w:t>
      </w:r>
      <w:r w:rsidR="00956797" w:rsidRPr="00511295">
        <w:rPr>
          <w:rFonts w:ascii="Times New Roman" w:eastAsia="Times New Roman" w:hAnsi="Times New Roman" w:cs="Times New Roman"/>
          <w:color w:val="242424"/>
        </w:rPr>
        <w:t>Institute’s</w:t>
      </w:r>
      <w:r w:rsidR="00511295" w:rsidRPr="00511295">
        <w:rPr>
          <w:rFonts w:ascii="Times New Roman" w:eastAsia="Times New Roman" w:hAnsi="Times New Roman" w:cs="Times New Roman"/>
          <w:color w:val="242424"/>
        </w:rPr>
        <w:t xml:space="preserve"> website, student handbook, and display boards</w:t>
      </w:r>
      <w:r w:rsidR="00956797">
        <w:rPr>
          <w:rFonts w:ascii="Times New Roman" w:eastAsia="Times New Roman" w:hAnsi="Times New Roman" w:cs="Times New Roman"/>
          <w:color w:val="242424"/>
        </w:rPr>
        <w:t xml:space="preserve"> vision and mission statements</w:t>
      </w:r>
      <w:r w:rsidR="00511295" w:rsidRPr="00511295">
        <w:rPr>
          <w:rFonts w:ascii="Times New Roman" w:eastAsia="Times New Roman" w:hAnsi="Times New Roman" w:cs="Times New Roman"/>
          <w:color w:val="242424"/>
        </w:rPr>
        <w:t xml:space="preserve"> are</w:t>
      </w:r>
      <w:r w:rsidR="00956797">
        <w:rPr>
          <w:rFonts w:ascii="Times New Roman" w:eastAsia="Times New Roman" w:hAnsi="Times New Roman" w:cs="Times New Roman"/>
          <w:color w:val="242424"/>
        </w:rPr>
        <w:t xml:space="preserve"> conveyed to all the stakeholders.</w:t>
      </w:r>
      <w:r w:rsidR="00511295" w:rsidRPr="00511295">
        <w:rPr>
          <w:rFonts w:ascii="Times New Roman" w:eastAsia="Times New Roman" w:hAnsi="Times New Roman" w:cs="Times New Roman"/>
          <w:color w:val="242424"/>
        </w:rPr>
        <w:t xml:space="preserve"> The </w:t>
      </w:r>
      <w:r w:rsidR="00956797">
        <w:rPr>
          <w:rFonts w:ascii="Times New Roman" w:eastAsia="Times New Roman" w:hAnsi="Times New Roman" w:cs="Times New Roman"/>
          <w:color w:val="242424"/>
        </w:rPr>
        <w:t>I</w:t>
      </w:r>
      <w:r w:rsidR="00511295" w:rsidRPr="00511295">
        <w:rPr>
          <w:rFonts w:ascii="Times New Roman" w:eastAsia="Times New Roman" w:hAnsi="Times New Roman" w:cs="Times New Roman"/>
          <w:color w:val="242424"/>
        </w:rPr>
        <w:t xml:space="preserve">nstitute also uses the social media platforms, emails, newsletters, mailers and other communication tools for dissemination of information.  The </w:t>
      </w:r>
      <w:r w:rsidR="000A1EA9">
        <w:rPr>
          <w:rFonts w:ascii="Times New Roman" w:eastAsia="Times New Roman" w:hAnsi="Times New Roman" w:cs="Times New Roman"/>
          <w:color w:val="242424"/>
        </w:rPr>
        <w:t>I</w:t>
      </w:r>
      <w:r w:rsidR="00511295" w:rsidRPr="00511295">
        <w:rPr>
          <w:rFonts w:ascii="Times New Roman" w:eastAsia="Times New Roman" w:hAnsi="Times New Roman" w:cs="Times New Roman"/>
          <w:color w:val="242424"/>
        </w:rPr>
        <w:t xml:space="preserve">nstitute also has an online ERP system which can be accessed by the stakeholders from anywhere. </w:t>
      </w:r>
      <w:r w:rsidR="00956797">
        <w:rPr>
          <w:rFonts w:ascii="Times New Roman" w:eastAsia="Times New Roman" w:hAnsi="Times New Roman" w:cs="Times New Roman"/>
          <w:color w:val="242424"/>
        </w:rPr>
        <w:t xml:space="preserve">The Institute’s decision-making bodies involves all the faculty members for policy making, planning and execution of policy decisions. </w:t>
      </w:r>
    </w:p>
    <w:p w14:paraId="12C7EE67" w14:textId="77777777" w:rsidR="00F74976" w:rsidRPr="00511295" w:rsidRDefault="00F74976" w:rsidP="00F74976">
      <w:pPr>
        <w:widowControl w:val="0"/>
        <w:autoSpaceDE w:val="0"/>
        <w:autoSpaceDN w:val="0"/>
        <w:adjustRightInd w:val="0"/>
        <w:spacing w:after="0" w:line="360" w:lineRule="auto"/>
        <w:jc w:val="both"/>
        <w:rPr>
          <w:rFonts w:ascii="Times New Roman" w:eastAsia="Times New Roman" w:hAnsi="Times New Roman" w:cs="Times New Roman"/>
          <w:color w:val="242424"/>
          <w:u w:val="single"/>
        </w:rPr>
      </w:pPr>
    </w:p>
    <w:p w14:paraId="61D15478" w14:textId="2DCC377A" w:rsidR="00511295" w:rsidRDefault="00511295" w:rsidP="00956797">
      <w:pPr>
        <w:spacing w:line="360" w:lineRule="auto"/>
        <w:jc w:val="both"/>
        <w:rPr>
          <w:rFonts w:ascii="Times New Roman" w:eastAsia="Times New Roman" w:hAnsi="Times New Roman" w:cs="Times New Roman"/>
          <w:color w:val="242424"/>
        </w:rPr>
      </w:pPr>
      <w:r w:rsidRPr="00511295">
        <w:rPr>
          <w:rFonts w:ascii="Times New Roman" w:eastAsia="Times New Roman" w:hAnsi="Times New Roman" w:cs="Times New Roman"/>
          <w:color w:val="242424"/>
        </w:rPr>
        <w:t>To achieve the stated vision</w:t>
      </w:r>
      <w:r w:rsidR="00956797">
        <w:rPr>
          <w:rFonts w:ascii="Times New Roman" w:eastAsia="Times New Roman" w:hAnsi="Times New Roman" w:cs="Times New Roman"/>
          <w:color w:val="242424"/>
        </w:rPr>
        <w:t xml:space="preserve"> and</w:t>
      </w:r>
      <w:r w:rsidRPr="00511295">
        <w:rPr>
          <w:rFonts w:ascii="Times New Roman" w:eastAsia="Times New Roman" w:hAnsi="Times New Roman" w:cs="Times New Roman"/>
          <w:color w:val="242424"/>
        </w:rPr>
        <w:t xml:space="preserve"> mission</w:t>
      </w:r>
      <w:r w:rsidR="00956797">
        <w:rPr>
          <w:rFonts w:ascii="Times New Roman" w:eastAsia="Times New Roman" w:hAnsi="Times New Roman" w:cs="Times New Roman"/>
          <w:color w:val="242424"/>
        </w:rPr>
        <w:t xml:space="preserve"> </w:t>
      </w:r>
      <w:r w:rsidRPr="00511295">
        <w:rPr>
          <w:rFonts w:ascii="Times New Roman" w:eastAsia="Times New Roman" w:hAnsi="Times New Roman" w:cs="Times New Roman"/>
          <w:color w:val="242424"/>
        </w:rPr>
        <w:t xml:space="preserve">of </w:t>
      </w:r>
      <w:r w:rsidR="00F74976">
        <w:rPr>
          <w:rFonts w:ascii="Times New Roman" w:eastAsia="Times New Roman" w:hAnsi="Times New Roman" w:cs="Times New Roman"/>
          <w:color w:val="242424"/>
        </w:rPr>
        <w:t>IMI</w:t>
      </w:r>
      <w:r w:rsidRPr="00511295">
        <w:rPr>
          <w:rFonts w:ascii="Times New Roman" w:eastAsia="Times New Roman" w:hAnsi="Times New Roman" w:cs="Times New Roman"/>
          <w:color w:val="242424"/>
        </w:rPr>
        <w:t xml:space="preserve"> Bhubaneswar, the Governing Body comprising of eminent academicians and industry leaders is constituted. </w:t>
      </w:r>
      <w:r w:rsidR="00956797">
        <w:rPr>
          <w:rFonts w:ascii="Times New Roman" w:eastAsia="Times New Roman" w:hAnsi="Times New Roman" w:cs="Times New Roman"/>
          <w:color w:val="242424"/>
        </w:rPr>
        <w:t xml:space="preserve">The </w:t>
      </w:r>
      <w:r w:rsidR="00F74976" w:rsidRPr="00F74976">
        <w:rPr>
          <w:rFonts w:ascii="Times New Roman" w:eastAsia="Times New Roman" w:hAnsi="Times New Roman" w:cs="Times New Roman"/>
          <w:b/>
          <w:bCs/>
          <w:color w:val="242424"/>
        </w:rPr>
        <w:t>G</w:t>
      </w:r>
      <w:r w:rsidR="00956797" w:rsidRPr="00F74976">
        <w:rPr>
          <w:rFonts w:ascii="Times New Roman" w:eastAsia="Times New Roman" w:hAnsi="Times New Roman" w:cs="Times New Roman"/>
          <w:b/>
          <w:bCs/>
          <w:color w:val="242424"/>
        </w:rPr>
        <w:t xml:space="preserve">overning </w:t>
      </w:r>
      <w:r w:rsidR="00F74976" w:rsidRPr="00F74976">
        <w:rPr>
          <w:rFonts w:ascii="Times New Roman" w:eastAsia="Times New Roman" w:hAnsi="Times New Roman" w:cs="Times New Roman"/>
          <w:b/>
          <w:bCs/>
          <w:color w:val="242424"/>
        </w:rPr>
        <w:t>B</w:t>
      </w:r>
      <w:r w:rsidR="00956797" w:rsidRPr="00F74976">
        <w:rPr>
          <w:rFonts w:ascii="Times New Roman" w:eastAsia="Times New Roman" w:hAnsi="Times New Roman" w:cs="Times New Roman"/>
          <w:b/>
          <w:bCs/>
          <w:color w:val="242424"/>
        </w:rPr>
        <w:t>oard</w:t>
      </w:r>
      <w:r w:rsidRPr="00511295">
        <w:rPr>
          <w:rFonts w:ascii="Times New Roman" w:eastAsia="Times New Roman" w:hAnsi="Times New Roman" w:cs="Times New Roman"/>
          <w:color w:val="242424"/>
        </w:rPr>
        <w:t xml:space="preserve"> </w:t>
      </w:r>
      <w:r w:rsidR="00956797">
        <w:rPr>
          <w:rFonts w:ascii="Times New Roman" w:eastAsia="Times New Roman" w:hAnsi="Times New Roman" w:cs="Times New Roman"/>
          <w:color w:val="242424"/>
        </w:rPr>
        <w:t xml:space="preserve">guide </w:t>
      </w:r>
      <w:r w:rsidRPr="00511295">
        <w:rPr>
          <w:rFonts w:ascii="Times New Roman" w:eastAsia="Times New Roman" w:hAnsi="Times New Roman" w:cs="Times New Roman"/>
          <w:color w:val="242424"/>
        </w:rPr>
        <w:t xml:space="preserve">the top management and faculty of the Institute to realize the institutional goals.  The Governing Board comprises of the </w:t>
      </w:r>
      <w:r w:rsidRPr="00F74976">
        <w:rPr>
          <w:rFonts w:ascii="Times New Roman" w:eastAsia="Times New Roman" w:hAnsi="Times New Roman" w:cs="Times New Roman"/>
          <w:b/>
          <w:bCs/>
          <w:color w:val="242424"/>
        </w:rPr>
        <w:t>Finance, Infrastructure, and Steering sub-committees</w:t>
      </w:r>
      <w:r w:rsidRPr="00511295">
        <w:rPr>
          <w:rFonts w:ascii="Times New Roman" w:eastAsia="Times New Roman" w:hAnsi="Times New Roman" w:cs="Times New Roman"/>
          <w:color w:val="242424"/>
        </w:rPr>
        <w:t xml:space="preserve">. Since its inception, Governing Board members have proactively guided the Institute to achieve its objectives stated in the mission statement through various committees such as Academic Advisory </w:t>
      </w:r>
      <w:r w:rsidR="00956797">
        <w:rPr>
          <w:rFonts w:ascii="Times New Roman" w:eastAsia="Times New Roman" w:hAnsi="Times New Roman" w:cs="Times New Roman"/>
          <w:color w:val="242424"/>
        </w:rPr>
        <w:t>Council</w:t>
      </w:r>
      <w:r w:rsidRPr="00511295">
        <w:rPr>
          <w:rFonts w:ascii="Times New Roman" w:eastAsia="Times New Roman" w:hAnsi="Times New Roman" w:cs="Times New Roman"/>
          <w:color w:val="242424"/>
        </w:rPr>
        <w:t xml:space="preserve">, Finance Committee, etc. The </w:t>
      </w:r>
      <w:r w:rsidRPr="00A971A5">
        <w:rPr>
          <w:rFonts w:ascii="Times New Roman" w:eastAsia="Times New Roman" w:hAnsi="Times New Roman" w:cs="Times New Roman"/>
          <w:b/>
          <w:bCs/>
          <w:color w:val="242424"/>
        </w:rPr>
        <w:t xml:space="preserve">Academic Advisory </w:t>
      </w:r>
      <w:r w:rsidR="00956797" w:rsidRPr="00A971A5">
        <w:rPr>
          <w:rFonts w:ascii="Times New Roman" w:eastAsia="Times New Roman" w:hAnsi="Times New Roman" w:cs="Times New Roman"/>
          <w:b/>
          <w:bCs/>
          <w:color w:val="242424"/>
        </w:rPr>
        <w:t>Council</w:t>
      </w:r>
      <w:r w:rsidRPr="00511295">
        <w:rPr>
          <w:rFonts w:ascii="Times New Roman" w:eastAsia="Times New Roman" w:hAnsi="Times New Roman" w:cs="Times New Roman"/>
          <w:color w:val="242424"/>
        </w:rPr>
        <w:t xml:space="preserve"> of IMI meets regularly to guide the Institute to achieve its mission and to ensure that the values are upheld in its letter and spirit. The advisory board of the Institute comprises of eminent personalities. They bring their rich experience to guide the Institute to achieve its stated objectives. The </w:t>
      </w:r>
      <w:r w:rsidR="00A971A5" w:rsidRPr="00A971A5">
        <w:rPr>
          <w:rFonts w:ascii="Times New Roman" w:eastAsia="Times New Roman" w:hAnsi="Times New Roman" w:cs="Times New Roman"/>
          <w:b/>
          <w:bCs/>
          <w:color w:val="242424"/>
        </w:rPr>
        <w:t>F</w:t>
      </w:r>
      <w:r w:rsidRPr="00A971A5">
        <w:rPr>
          <w:rFonts w:ascii="Times New Roman" w:eastAsia="Times New Roman" w:hAnsi="Times New Roman" w:cs="Times New Roman"/>
          <w:b/>
          <w:bCs/>
          <w:color w:val="242424"/>
        </w:rPr>
        <w:t xml:space="preserve">inance </w:t>
      </w:r>
      <w:r w:rsidR="00A971A5" w:rsidRPr="00A971A5">
        <w:rPr>
          <w:rFonts w:ascii="Times New Roman" w:eastAsia="Times New Roman" w:hAnsi="Times New Roman" w:cs="Times New Roman"/>
          <w:b/>
          <w:bCs/>
          <w:color w:val="242424"/>
        </w:rPr>
        <w:t>C</w:t>
      </w:r>
      <w:r w:rsidRPr="00A971A5">
        <w:rPr>
          <w:rFonts w:ascii="Times New Roman" w:eastAsia="Times New Roman" w:hAnsi="Times New Roman" w:cs="Times New Roman"/>
          <w:b/>
          <w:bCs/>
          <w:color w:val="242424"/>
        </w:rPr>
        <w:t>ommittee</w:t>
      </w:r>
      <w:r w:rsidRPr="00511295">
        <w:rPr>
          <w:rFonts w:ascii="Times New Roman" w:eastAsia="Times New Roman" w:hAnsi="Times New Roman" w:cs="Times New Roman"/>
          <w:color w:val="242424"/>
        </w:rPr>
        <w:t xml:space="preserve"> of the Institute reviews the financials on regular basis and accordingly the budgets are updated. The Institute has focused on developing outstanding managerial talent, research publications, collaborating with counterpart national and international Institutes, Industry</w:t>
      </w:r>
      <w:r w:rsidR="000A1EA9">
        <w:rPr>
          <w:rFonts w:ascii="Times New Roman" w:eastAsia="Times New Roman" w:hAnsi="Times New Roman" w:cs="Times New Roman"/>
          <w:color w:val="242424"/>
        </w:rPr>
        <w:t>,</w:t>
      </w:r>
      <w:r w:rsidRPr="00511295">
        <w:rPr>
          <w:rFonts w:ascii="Times New Roman" w:eastAsia="Times New Roman" w:hAnsi="Times New Roman" w:cs="Times New Roman"/>
          <w:color w:val="242424"/>
        </w:rPr>
        <w:t xml:space="preserve"> and the government in generating new knowledge for the benefit of the society, consistent with its mission statement.</w:t>
      </w:r>
    </w:p>
    <w:p w14:paraId="0228BCD4" w14:textId="04366EC9" w:rsidR="006C4EF2" w:rsidRDefault="00F74976" w:rsidP="006F0B2F">
      <w:pPr>
        <w:spacing w:line="360" w:lineRule="auto"/>
        <w:jc w:val="both"/>
        <w:rPr>
          <w:rFonts w:ascii="Times New Roman" w:eastAsia="Times New Roman" w:hAnsi="Times New Roman" w:cs="Times New Roman"/>
          <w:color w:val="242424"/>
        </w:rPr>
      </w:pPr>
      <w:r>
        <w:rPr>
          <w:rFonts w:ascii="Times New Roman" w:eastAsia="Times New Roman" w:hAnsi="Times New Roman" w:cs="Times New Roman"/>
          <w:color w:val="242424"/>
        </w:rPr>
        <w:t xml:space="preserve">Another key governing body is the </w:t>
      </w:r>
      <w:r w:rsidRPr="00A971A5">
        <w:rPr>
          <w:rFonts w:ascii="Times New Roman" w:eastAsia="Times New Roman" w:hAnsi="Times New Roman" w:cs="Times New Roman"/>
          <w:b/>
          <w:bCs/>
          <w:color w:val="242424"/>
        </w:rPr>
        <w:t>Faculty Council</w:t>
      </w:r>
      <w:r>
        <w:rPr>
          <w:rFonts w:ascii="Times New Roman" w:eastAsia="Times New Roman" w:hAnsi="Times New Roman" w:cs="Times New Roman"/>
          <w:color w:val="242424"/>
        </w:rPr>
        <w:t xml:space="preserve"> in which all the faculty members of the institute are members. The key role of the Faculty Council is to deliberate on the management of the institute, to make rules and regulations governing student learning and discipline (including examinations and results) and to act as a conscience of the Institute. Matters of importance are discussed, </w:t>
      </w:r>
      <w:r w:rsidR="00A971A5">
        <w:rPr>
          <w:rFonts w:ascii="Times New Roman" w:eastAsia="Times New Roman" w:hAnsi="Times New Roman" w:cs="Times New Roman"/>
          <w:color w:val="242424"/>
        </w:rPr>
        <w:t>deliberated,</w:t>
      </w:r>
      <w:r>
        <w:rPr>
          <w:rFonts w:ascii="Times New Roman" w:eastAsia="Times New Roman" w:hAnsi="Times New Roman" w:cs="Times New Roman"/>
          <w:color w:val="242424"/>
        </w:rPr>
        <w:t xml:space="preserve"> and decided upon at the Faculty Council level. The Faculty Council meets at least once a month to ensure the smooth functioning of the institute. </w:t>
      </w:r>
      <w:r w:rsidR="006F0B2F">
        <w:rPr>
          <w:rFonts w:ascii="Times New Roman" w:eastAsia="Times New Roman" w:hAnsi="Times New Roman" w:cs="Times New Roman"/>
          <w:color w:val="242424"/>
        </w:rPr>
        <w:t xml:space="preserve">The </w:t>
      </w:r>
      <w:r w:rsidR="000A1EA9">
        <w:rPr>
          <w:rFonts w:ascii="Times New Roman" w:eastAsia="Times New Roman" w:hAnsi="Times New Roman" w:cs="Times New Roman"/>
          <w:color w:val="242424"/>
        </w:rPr>
        <w:t>F</w:t>
      </w:r>
      <w:r w:rsidR="006F0B2F">
        <w:rPr>
          <w:rFonts w:ascii="Times New Roman" w:eastAsia="Times New Roman" w:hAnsi="Times New Roman" w:cs="Times New Roman"/>
          <w:color w:val="242424"/>
        </w:rPr>
        <w:t xml:space="preserve">aculty </w:t>
      </w:r>
      <w:r w:rsidR="000A1EA9">
        <w:rPr>
          <w:rFonts w:ascii="Times New Roman" w:eastAsia="Times New Roman" w:hAnsi="Times New Roman" w:cs="Times New Roman"/>
          <w:color w:val="242424"/>
        </w:rPr>
        <w:t>C</w:t>
      </w:r>
      <w:r w:rsidR="006F0B2F">
        <w:rPr>
          <w:rFonts w:ascii="Times New Roman" w:eastAsia="Times New Roman" w:hAnsi="Times New Roman" w:cs="Times New Roman"/>
          <w:color w:val="242424"/>
        </w:rPr>
        <w:t xml:space="preserve">ouncil is supported by </w:t>
      </w:r>
      <w:r w:rsidR="006F0B2F" w:rsidRPr="00A971A5">
        <w:rPr>
          <w:rFonts w:ascii="Times New Roman" w:eastAsia="Times New Roman" w:hAnsi="Times New Roman" w:cs="Times New Roman"/>
          <w:b/>
          <w:bCs/>
          <w:color w:val="242424"/>
        </w:rPr>
        <w:t>Area Chairs</w:t>
      </w:r>
      <w:r w:rsidR="006F0B2F">
        <w:rPr>
          <w:rFonts w:ascii="Times New Roman" w:eastAsia="Times New Roman" w:hAnsi="Times New Roman" w:cs="Times New Roman"/>
          <w:color w:val="242424"/>
        </w:rPr>
        <w:t xml:space="preserve"> for academic related matters. The Area Chairs are responsible for the overall development of area of specialization. Along with the Area Chairs, Faculty members are also assigned administrative roles for the management of the institute. </w:t>
      </w:r>
      <w:r w:rsidR="00A47D94">
        <w:rPr>
          <w:rFonts w:ascii="Times New Roman" w:eastAsia="Times New Roman" w:hAnsi="Times New Roman" w:cs="Times New Roman"/>
          <w:color w:val="242424"/>
        </w:rPr>
        <w:t xml:space="preserve">The faculty members also coordinate with the staff members, and </w:t>
      </w:r>
      <w:r w:rsidR="004C54B6">
        <w:rPr>
          <w:rFonts w:ascii="Times New Roman" w:eastAsia="Times New Roman" w:hAnsi="Times New Roman" w:cs="Times New Roman"/>
          <w:color w:val="242424"/>
        </w:rPr>
        <w:t xml:space="preserve">student </w:t>
      </w:r>
      <w:r w:rsidR="00A47D94">
        <w:rPr>
          <w:rFonts w:ascii="Times New Roman" w:eastAsia="Times New Roman" w:hAnsi="Times New Roman" w:cs="Times New Roman"/>
          <w:color w:val="242424"/>
        </w:rPr>
        <w:t xml:space="preserve">committees to ensure a smooth flow of work in tune with mission and vision of the organisation. The organisation implements a bottom-up informational </w:t>
      </w:r>
      <w:r w:rsidR="00A47D94">
        <w:rPr>
          <w:rFonts w:ascii="Times New Roman" w:eastAsia="Times New Roman" w:hAnsi="Times New Roman" w:cs="Times New Roman"/>
          <w:color w:val="242424"/>
        </w:rPr>
        <w:lastRenderedPageBreak/>
        <w:t xml:space="preserve">flow to ensure that all stakeholders are able to represent their point of views. This also helps in taking corrective action in case any deviation occurs from the stated mission and vision. </w:t>
      </w:r>
    </w:p>
    <w:sectPr w:rsidR="006C4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90BE9"/>
    <w:multiLevelType w:val="hybridMultilevel"/>
    <w:tmpl w:val="3158660E"/>
    <w:lvl w:ilvl="0" w:tplc="81B0D866">
      <w:start w:val="1"/>
      <w:numFmt w:val="bullet"/>
      <w:lvlText w:val="•"/>
      <w:lvlJc w:val="left"/>
      <w:pPr>
        <w:tabs>
          <w:tab w:val="num" w:pos="720"/>
        </w:tabs>
        <w:ind w:left="720" w:hanging="360"/>
      </w:pPr>
      <w:rPr>
        <w:rFonts w:ascii="Arial" w:hAnsi="Arial" w:hint="default"/>
      </w:rPr>
    </w:lvl>
    <w:lvl w:ilvl="1" w:tplc="4288DC9A" w:tentative="1">
      <w:start w:val="1"/>
      <w:numFmt w:val="bullet"/>
      <w:lvlText w:val="•"/>
      <w:lvlJc w:val="left"/>
      <w:pPr>
        <w:tabs>
          <w:tab w:val="num" w:pos="1440"/>
        </w:tabs>
        <w:ind w:left="1440" w:hanging="360"/>
      </w:pPr>
      <w:rPr>
        <w:rFonts w:ascii="Arial" w:hAnsi="Arial" w:hint="default"/>
      </w:rPr>
    </w:lvl>
    <w:lvl w:ilvl="2" w:tplc="BDE8F322" w:tentative="1">
      <w:start w:val="1"/>
      <w:numFmt w:val="bullet"/>
      <w:lvlText w:val="•"/>
      <w:lvlJc w:val="left"/>
      <w:pPr>
        <w:tabs>
          <w:tab w:val="num" w:pos="2160"/>
        </w:tabs>
        <w:ind w:left="2160" w:hanging="360"/>
      </w:pPr>
      <w:rPr>
        <w:rFonts w:ascii="Arial" w:hAnsi="Arial" w:hint="default"/>
      </w:rPr>
    </w:lvl>
    <w:lvl w:ilvl="3" w:tplc="EC8AFBCC" w:tentative="1">
      <w:start w:val="1"/>
      <w:numFmt w:val="bullet"/>
      <w:lvlText w:val="•"/>
      <w:lvlJc w:val="left"/>
      <w:pPr>
        <w:tabs>
          <w:tab w:val="num" w:pos="2880"/>
        </w:tabs>
        <w:ind w:left="2880" w:hanging="360"/>
      </w:pPr>
      <w:rPr>
        <w:rFonts w:ascii="Arial" w:hAnsi="Arial" w:hint="default"/>
      </w:rPr>
    </w:lvl>
    <w:lvl w:ilvl="4" w:tplc="449A5AA4" w:tentative="1">
      <w:start w:val="1"/>
      <w:numFmt w:val="bullet"/>
      <w:lvlText w:val="•"/>
      <w:lvlJc w:val="left"/>
      <w:pPr>
        <w:tabs>
          <w:tab w:val="num" w:pos="3600"/>
        </w:tabs>
        <w:ind w:left="3600" w:hanging="360"/>
      </w:pPr>
      <w:rPr>
        <w:rFonts w:ascii="Arial" w:hAnsi="Arial" w:hint="default"/>
      </w:rPr>
    </w:lvl>
    <w:lvl w:ilvl="5" w:tplc="E0FA99E4" w:tentative="1">
      <w:start w:val="1"/>
      <w:numFmt w:val="bullet"/>
      <w:lvlText w:val="•"/>
      <w:lvlJc w:val="left"/>
      <w:pPr>
        <w:tabs>
          <w:tab w:val="num" w:pos="4320"/>
        </w:tabs>
        <w:ind w:left="4320" w:hanging="360"/>
      </w:pPr>
      <w:rPr>
        <w:rFonts w:ascii="Arial" w:hAnsi="Arial" w:hint="default"/>
      </w:rPr>
    </w:lvl>
    <w:lvl w:ilvl="6" w:tplc="342C06BC" w:tentative="1">
      <w:start w:val="1"/>
      <w:numFmt w:val="bullet"/>
      <w:lvlText w:val="•"/>
      <w:lvlJc w:val="left"/>
      <w:pPr>
        <w:tabs>
          <w:tab w:val="num" w:pos="5040"/>
        </w:tabs>
        <w:ind w:left="5040" w:hanging="360"/>
      </w:pPr>
      <w:rPr>
        <w:rFonts w:ascii="Arial" w:hAnsi="Arial" w:hint="default"/>
      </w:rPr>
    </w:lvl>
    <w:lvl w:ilvl="7" w:tplc="D9926D36" w:tentative="1">
      <w:start w:val="1"/>
      <w:numFmt w:val="bullet"/>
      <w:lvlText w:val="•"/>
      <w:lvlJc w:val="left"/>
      <w:pPr>
        <w:tabs>
          <w:tab w:val="num" w:pos="5760"/>
        </w:tabs>
        <w:ind w:left="5760" w:hanging="360"/>
      </w:pPr>
      <w:rPr>
        <w:rFonts w:ascii="Arial" w:hAnsi="Arial" w:hint="default"/>
      </w:rPr>
    </w:lvl>
    <w:lvl w:ilvl="8" w:tplc="364A00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355D3A"/>
    <w:multiLevelType w:val="multilevel"/>
    <w:tmpl w:val="ACC46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73474"/>
    <w:multiLevelType w:val="hybridMultilevel"/>
    <w:tmpl w:val="06B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95"/>
    <w:rsid w:val="000A1EA9"/>
    <w:rsid w:val="001E447E"/>
    <w:rsid w:val="002852C8"/>
    <w:rsid w:val="004C54B6"/>
    <w:rsid w:val="00511295"/>
    <w:rsid w:val="006C4EF2"/>
    <w:rsid w:val="006F0B2F"/>
    <w:rsid w:val="00956797"/>
    <w:rsid w:val="00A47D94"/>
    <w:rsid w:val="00A971A5"/>
    <w:rsid w:val="00B90BFA"/>
    <w:rsid w:val="00C44B9B"/>
    <w:rsid w:val="00E67347"/>
    <w:rsid w:val="00F7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6A86"/>
  <w15:chartTrackingRefBased/>
  <w15:docId w15:val="{EFCDCD5C-2D91-459E-BB30-D622EE53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 Sampurna Panigrahi</dc:creator>
  <cp:keywords/>
  <dc:description/>
  <cp:lastModifiedBy>Rohit Vishal Kumar</cp:lastModifiedBy>
  <cp:revision>8</cp:revision>
  <dcterms:created xsi:type="dcterms:W3CDTF">2021-05-26T10:19:00Z</dcterms:created>
  <dcterms:modified xsi:type="dcterms:W3CDTF">2021-07-08T05:37:00Z</dcterms:modified>
</cp:coreProperties>
</file>